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D749D9">
        <w:rPr>
          <w:rStyle w:val="Strong"/>
        </w:rPr>
        <w:t>M.L. King, Jr. Middle School</w:t>
      </w:r>
      <w:r>
        <w:t xml:space="preserve"> was held at </w:t>
      </w:r>
      <w:r w:rsidR="00D749D9">
        <w:rPr>
          <w:rStyle w:val="Strong"/>
        </w:rPr>
        <w:t>M.L. King, Jr. Middle School</w:t>
      </w:r>
      <w:r>
        <w:t xml:space="preserve"> on </w:t>
      </w:r>
      <w:r w:rsidR="00F8123D">
        <w:rPr>
          <w:rStyle w:val="Strong"/>
        </w:rPr>
        <w:t>February 13</w:t>
      </w:r>
      <w:r w:rsidR="00CD5556">
        <w:rPr>
          <w:rStyle w:val="Strong"/>
        </w:rPr>
        <w:t>, 2018</w:t>
      </w:r>
      <w:r>
        <w:t>.</w:t>
      </w:r>
    </w:p>
    <w:p w:rsidR="00127487" w:rsidRDefault="00127487">
      <w:r>
        <w:t>Mee</w:t>
      </w:r>
      <w:r w:rsidR="00CD5556">
        <w:t>ting was called to order at 5:16</w:t>
      </w:r>
      <w:r>
        <w:t xml:space="preserve"> 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D749D9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1"/>
        <w:gridCol w:w="2511"/>
        <w:gridCol w:w="2526"/>
      </w:tblGrid>
      <w:tr w:rsidR="00D749D9" w:rsidTr="00501477">
        <w:tc>
          <w:tcPr>
            <w:tcW w:w="2522" w:type="dxa"/>
          </w:tcPr>
          <w:p w:rsidR="00A95A43" w:rsidRDefault="00A95A43"/>
          <w:p w:rsidR="00A95A43" w:rsidRDefault="00D749D9">
            <w:r>
              <w:t>Paul Brown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Shevan Howard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Karlief Legend</w:t>
            </w:r>
          </w:p>
        </w:tc>
        <w:tc>
          <w:tcPr>
            <w:tcW w:w="2526" w:type="dxa"/>
          </w:tcPr>
          <w:p w:rsidR="00A95A43" w:rsidRDefault="00A95A43"/>
          <w:p w:rsidR="00D749D9" w:rsidRDefault="008F6BB7">
            <w:r>
              <w:t>Courtney Montague</w:t>
            </w:r>
          </w:p>
        </w:tc>
      </w:tr>
      <w:tr w:rsidR="00D749D9" w:rsidTr="00501477">
        <w:tc>
          <w:tcPr>
            <w:tcW w:w="2522" w:type="dxa"/>
          </w:tcPr>
          <w:p w:rsidR="00A95A43" w:rsidRDefault="00A95A43"/>
          <w:p w:rsidR="00A95A43" w:rsidRDefault="00922CF5">
            <w:r>
              <w:t>Shirley McCullough</w:t>
            </w:r>
          </w:p>
        </w:tc>
        <w:tc>
          <w:tcPr>
            <w:tcW w:w="2511" w:type="dxa"/>
          </w:tcPr>
          <w:p w:rsidR="00D137A9" w:rsidRDefault="00D137A9"/>
          <w:p w:rsidR="00D749D9" w:rsidRDefault="00A571E8">
            <w:r>
              <w:t>Jeffrie Keith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Lynette Marrs-Burke</w:t>
            </w:r>
          </w:p>
        </w:tc>
        <w:tc>
          <w:tcPr>
            <w:tcW w:w="2526" w:type="dxa"/>
          </w:tcPr>
          <w:p w:rsidR="00F16A70" w:rsidRDefault="00F16A70"/>
          <w:p w:rsidR="00A95A43" w:rsidRDefault="008F6BB7">
            <w:r>
              <w:t>Bodicia Ridley</w:t>
            </w:r>
          </w:p>
        </w:tc>
      </w:tr>
      <w:tr w:rsidR="00501477" w:rsidTr="00501477">
        <w:tc>
          <w:tcPr>
            <w:tcW w:w="2522" w:type="dxa"/>
          </w:tcPr>
          <w:p w:rsidR="00501477" w:rsidRDefault="00501477"/>
          <w:p w:rsidR="00501477" w:rsidRDefault="00A571E8">
            <w:r>
              <w:t>Amanda Colcough</w:t>
            </w:r>
          </w:p>
        </w:tc>
        <w:tc>
          <w:tcPr>
            <w:tcW w:w="2511" w:type="dxa"/>
          </w:tcPr>
          <w:p w:rsidR="00501477" w:rsidRDefault="00501477"/>
        </w:tc>
        <w:tc>
          <w:tcPr>
            <w:tcW w:w="2511" w:type="dxa"/>
          </w:tcPr>
          <w:p w:rsidR="00501477" w:rsidRDefault="00501477"/>
        </w:tc>
        <w:tc>
          <w:tcPr>
            <w:tcW w:w="2526" w:type="dxa"/>
          </w:tcPr>
          <w:p w:rsidR="00501477" w:rsidRDefault="00501477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922CF5" w:rsidRDefault="00905F1A">
      <w:r>
        <w:t>Mem</w:t>
      </w:r>
      <w:r w:rsidR="00EA4D62">
        <w:t>bers not in attendance included:</w:t>
      </w:r>
      <w:r w:rsidR="00922CF5">
        <w:t xml:space="preserve"> None.</w:t>
      </w:r>
    </w:p>
    <w:p w:rsidR="0011650A" w:rsidRDefault="00D10E0C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109856</wp:posOffset>
                </wp:positionV>
                <wp:extent cx="276225" cy="3238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EC4AB" id="Oval 5" o:spid="_x0000_s1026" style="position:absolute;margin-left:257.25pt;margin-top:8.65pt;width:21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CD5556" w:rsidRDefault="00CD5556" w:rsidP="0011650A">
      <w:pPr>
        <w:pStyle w:val="Heading1"/>
        <w:rPr>
          <w:color w:val="EA751A"/>
        </w:rPr>
      </w:pPr>
      <w:r>
        <w:rPr>
          <w:color w:val="EA751A"/>
        </w:rPr>
        <w:t>Approval of the Agenda</w:t>
      </w:r>
    </w:p>
    <w:p w:rsidR="00CD5556" w:rsidRPr="00A55AA3" w:rsidRDefault="008C6535" w:rsidP="00CD5556">
      <w:pPr>
        <w:rPr>
          <w:b w:val="0"/>
        </w:rPr>
      </w:pPr>
      <w:r>
        <w:rPr>
          <w:b w:val="0"/>
        </w:rPr>
        <w:t>Mr. Carpenter</w:t>
      </w:r>
      <w:r w:rsidR="00CD5556" w:rsidRPr="00A55AA3">
        <w:rPr>
          <w:b w:val="0"/>
        </w:rPr>
        <w:t xml:space="preserve"> motioned to accept the</w:t>
      </w:r>
      <w:r w:rsidR="00CD5556">
        <w:rPr>
          <w:b w:val="0"/>
        </w:rPr>
        <w:t xml:space="preserve"> agenda</w:t>
      </w:r>
      <w:r w:rsidR="00CD5556" w:rsidRPr="00A55AA3">
        <w:rPr>
          <w:b w:val="0"/>
        </w:rPr>
        <w:t>.</w:t>
      </w:r>
    </w:p>
    <w:p w:rsidR="00CD5556" w:rsidRPr="00A55AA3" w:rsidRDefault="008C6535" w:rsidP="00CD5556">
      <w:pPr>
        <w:rPr>
          <w:b w:val="0"/>
        </w:rPr>
      </w:pPr>
      <w:r>
        <w:rPr>
          <w:b w:val="0"/>
        </w:rPr>
        <w:t>Mr. Legend</w:t>
      </w:r>
      <w:r w:rsidR="00CD5556" w:rsidRPr="00A55AA3">
        <w:rPr>
          <w:b w:val="0"/>
        </w:rPr>
        <w:t xml:space="preserve"> seconded the motion. </w:t>
      </w:r>
    </w:p>
    <w:p w:rsidR="00CD5556" w:rsidRPr="00A55AA3" w:rsidRDefault="00CD5556" w:rsidP="00CD5556">
      <w:pPr>
        <w:spacing w:line="240" w:lineRule="auto"/>
        <w:rPr>
          <w:b w:val="0"/>
        </w:rPr>
      </w:pPr>
    </w:p>
    <w:p w:rsidR="00CD5556" w:rsidRPr="00CD5556" w:rsidRDefault="00CD5556" w:rsidP="00CD5556">
      <w:pPr>
        <w:rPr>
          <w:b w:val="0"/>
        </w:rPr>
      </w:pPr>
      <w:r w:rsidRPr="00A55AA3">
        <w:rPr>
          <w:b w:val="0"/>
        </w:rPr>
        <w:t xml:space="preserve">All </w:t>
      </w:r>
      <w:r>
        <w:rPr>
          <w:b w:val="0"/>
        </w:rPr>
        <w:t xml:space="preserve">present </w:t>
      </w:r>
      <w:r w:rsidRPr="00A55AA3">
        <w:rPr>
          <w:b w:val="0"/>
        </w:rPr>
        <w:t xml:space="preserve">were in favor of </w:t>
      </w:r>
      <w:r>
        <w:rPr>
          <w:b w:val="0"/>
        </w:rPr>
        <w:t>accepting the agenda</w:t>
      </w:r>
      <w:r w:rsidRPr="00A55AA3">
        <w:rPr>
          <w:b w:val="0"/>
        </w:rPr>
        <w:t>.</w:t>
      </w:r>
    </w:p>
    <w:p w:rsidR="0011650A" w:rsidRDefault="001E22A6" w:rsidP="0011650A">
      <w:pPr>
        <w:pStyle w:val="Heading1"/>
        <w:rPr>
          <w:color w:val="EA751A"/>
        </w:rPr>
      </w:pPr>
      <w:r>
        <w:rPr>
          <w:color w:val="EA751A"/>
        </w:rPr>
        <w:t>Approval of the</w:t>
      </w:r>
      <w:r w:rsidR="0011650A">
        <w:rPr>
          <w:color w:val="EA751A"/>
        </w:rPr>
        <w:t xml:space="preserve"> Minutes</w:t>
      </w:r>
    </w:p>
    <w:p w:rsidR="0011650A" w:rsidRDefault="00CD5556" w:rsidP="00EA4D62">
      <w:r>
        <w:t>After acceptance of the agenda</w:t>
      </w:r>
      <w:r w:rsidR="001E22A6">
        <w:t>:</w:t>
      </w:r>
    </w:p>
    <w:p w:rsidR="00B858C9" w:rsidRDefault="001E22A6" w:rsidP="00EA4D62">
      <w:pPr>
        <w:rPr>
          <w:b w:val="0"/>
        </w:rPr>
      </w:pPr>
      <w:r w:rsidRPr="00A55AA3">
        <w:rPr>
          <w:b w:val="0"/>
        </w:rPr>
        <w:t>A review of the minutes from the previous meeting.</w:t>
      </w:r>
    </w:p>
    <w:p w:rsidR="001E22A6" w:rsidRDefault="001E22A6" w:rsidP="00EA4D62">
      <w:pPr>
        <w:rPr>
          <w:b w:val="0"/>
        </w:rPr>
      </w:pPr>
      <w:r w:rsidRPr="00A55AA3">
        <w:rPr>
          <w:b w:val="0"/>
        </w:rPr>
        <w:t xml:space="preserve">  </w:t>
      </w:r>
    </w:p>
    <w:p w:rsidR="00CD5556" w:rsidRDefault="00CD5556" w:rsidP="00EA4D62">
      <w:pPr>
        <w:rPr>
          <w:b w:val="0"/>
        </w:rPr>
      </w:pPr>
    </w:p>
    <w:p w:rsidR="00CD5556" w:rsidRDefault="00CD5556" w:rsidP="00EA4D62">
      <w:pPr>
        <w:rPr>
          <w:b w:val="0"/>
        </w:rPr>
      </w:pPr>
    </w:p>
    <w:p w:rsidR="00CD5556" w:rsidRDefault="00CD5556" w:rsidP="00EA4D62">
      <w:pPr>
        <w:rPr>
          <w:b w:val="0"/>
        </w:rPr>
      </w:pPr>
    </w:p>
    <w:p w:rsidR="00CD5556" w:rsidRPr="00A55AA3" w:rsidRDefault="00CD5556" w:rsidP="00EA4D62">
      <w:pPr>
        <w:rPr>
          <w:b w:val="0"/>
        </w:rPr>
      </w:pPr>
    </w:p>
    <w:p w:rsidR="008C6535" w:rsidRDefault="008C6535" w:rsidP="00EA4D62">
      <w:pPr>
        <w:rPr>
          <w:b w:val="0"/>
        </w:rPr>
      </w:pPr>
    </w:p>
    <w:p w:rsidR="008C6535" w:rsidRDefault="008C6535" w:rsidP="00EA4D62">
      <w:pPr>
        <w:rPr>
          <w:b w:val="0"/>
        </w:rPr>
      </w:pPr>
    </w:p>
    <w:p w:rsidR="008C6535" w:rsidRDefault="008C6535" w:rsidP="00EA4D62">
      <w:pPr>
        <w:rPr>
          <w:b w:val="0"/>
        </w:rPr>
      </w:pPr>
    </w:p>
    <w:p w:rsidR="001E22A6" w:rsidRPr="00A55AA3" w:rsidRDefault="00CD5556" w:rsidP="00EA4D62">
      <w:pPr>
        <w:rPr>
          <w:b w:val="0"/>
        </w:rPr>
      </w:pPr>
      <w:r>
        <w:rPr>
          <w:b w:val="0"/>
        </w:rPr>
        <w:t>Mr</w:t>
      </w:r>
      <w:r w:rsidR="008C6535">
        <w:rPr>
          <w:b w:val="0"/>
        </w:rPr>
        <w:t>s. Marrs-Burke</w:t>
      </w:r>
      <w:r w:rsidR="001E22A6" w:rsidRPr="00A55AA3">
        <w:rPr>
          <w:b w:val="0"/>
        </w:rPr>
        <w:t xml:space="preserve"> motioned to accept the</w:t>
      </w:r>
      <w:r w:rsidR="00B858C9">
        <w:rPr>
          <w:b w:val="0"/>
        </w:rPr>
        <w:t xml:space="preserve"> minutes</w:t>
      </w:r>
      <w:r w:rsidR="001E22A6" w:rsidRPr="00A55AA3">
        <w:rPr>
          <w:b w:val="0"/>
        </w:rPr>
        <w:t>.</w:t>
      </w:r>
    </w:p>
    <w:p w:rsidR="001E22A6" w:rsidRPr="00A55AA3" w:rsidRDefault="008C6535" w:rsidP="00EA4D62">
      <w:pPr>
        <w:rPr>
          <w:b w:val="0"/>
        </w:rPr>
      </w:pPr>
      <w:r>
        <w:rPr>
          <w:b w:val="0"/>
        </w:rPr>
        <w:t>Mr. Legend</w:t>
      </w:r>
      <w:r w:rsidR="001E22A6" w:rsidRPr="00A55AA3">
        <w:rPr>
          <w:b w:val="0"/>
        </w:rPr>
        <w:t xml:space="preserve"> seconded the motion. 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All </w:t>
      </w:r>
      <w:r w:rsidR="008F6BB7">
        <w:rPr>
          <w:b w:val="0"/>
        </w:rPr>
        <w:t xml:space="preserve">present </w:t>
      </w:r>
      <w:r w:rsidRPr="00A55AA3">
        <w:rPr>
          <w:b w:val="0"/>
        </w:rPr>
        <w:t xml:space="preserve">were in favor of </w:t>
      </w:r>
      <w:r w:rsidR="00B858C9">
        <w:rPr>
          <w:b w:val="0"/>
        </w:rPr>
        <w:t xml:space="preserve">accepting </w:t>
      </w:r>
      <w:r w:rsidRPr="00A55AA3">
        <w:rPr>
          <w:b w:val="0"/>
        </w:rPr>
        <w:t>the minutes.</w:t>
      </w:r>
    </w:p>
    <w:p w:rsidR="00EA4D62" w:rsidRDefault="00EA4D62" w:rsidP="00A55AA3">
      <w:pPr>
        <w:spacing w:line="240" w:lineRule="auto"/>
      </w:pPr>
    </w:p>
    <w:p w:rsidR="0011650A" w:rsidRDefault="00FF0FE2" w:rsidP="001165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66700" cy="2000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1E1B4" id="Oval 6" o:spid="_x0000_s1026" style="position:absolute;margin-left:209.25pt;margin-top: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11650A">
        <w:t>Minutes approved?    Circle or highlight   Yes   or   No</w:t>
      </w:r>
    </w:p>
    <w:p w:rsidR="00A55AA3" w:rsidRDefault="00A55AA3">
      <w:pPr>
        <w:pStyle w:val="Heading1"/>
        <w:rPr>
          <w:color w:val="EA751A"/>
        </w:rPr>
      </w:pPr>
    </w:p>
    <w:p w:rsidR="00DD151C" w:rsidRDefault="00DD151C" w:rsidP="00225478">
      <w:pPr>
        <w:pStyle w:val="Heading1"/>
        <w:rPr>
          <w:color w:val="EA751A"/>
        </w:rPr>
      </w:pPr>
      <w:r>
        <w:rPr>
          <w:color w:val="EA751A"/>
        </w:rPr>
        <w:t>Action Items</w:t>
      </w:r>
    </w:p>
    <w:p w:rsidR="00DD151C" w:rsidRDefault="008C6535" w:rsidP="00BA6B8A">
      <w:pPr>
        <w:pStyle w:val="NoSpacing"/>
        <w:numPr>
          <w:ilvl w:val="0"/>
          <w:numId w:val="34"/>
        </w:numPr>
      </w:pPr>
      <w:r>
        <w:t>All Go-Team meetings for the budget will be held by February 26</w:t>
      </w:r>
      <w:r w:rsidRPr="008C6535">
        <w:rPr>
          <w:vertAlign w:val="superscript"/>
        </w:rPr>
        <w:t>th</w:t>
      </w:r>
      <w:r>
        <w:t>.</w:t>
      </w:r>
    </w:p>
    <w:p w:rsidR="008C6535" w:rsidRDefault="008C6535" w:rsidP="008C6535">
      <w:pPr>
        <w:pStyle w:val="NoSpacing"/>
        <w:ind w:left="720"/>
      </w:pPr>
    </w:p>
    <w:p w:rsidR="008C6535" w:rsidRDefault="008C6535" w:rsidP="00BA6B8A">
      <w:pPr>
        <w:pStyle w:val="NoSpacing"/>
        <w:numPr>
          <w:ilvl w:val="0"/>
          <w:numId w:val="34"/>
        </w:numPr>
      </w:pPr>
      <w:r>
        <w:t>The deadline for the budget is March 9</w:t>
      </w:r>
      <w:r w:rsidRPr="008C6535">
        <w:rPr>
          <w:vertAlign w:val="superscript"/>
        </w:rPr>
        <w:t>th</w:t>
      </w:r>
      <w:r>
        <w:t>.</w:t>
      </w:r>
    </w:p>
    <w:p w:rsidR="008C6535" w:rsidRDefault="008C6535" w:rsidP="008C6535">
      <w:pPr>
        <w:pStyle w:val="NoSpacing"/>
      </w:pPr>
    </w:p>
    <w:p w:rsidR="008C6535" w:rsidRDefault="008C6535" w:rsidP="00BA6B8A">
      <w:pPr>
        <w:pStyle w:val="NoSpacing"/>
        <w:numPr>
          <w:ilvl w:val="0"/>
          <w:numId w:val="34"/>
        </w:numPr>
      </w:pPr>
      <w:r>
        <w:t>A motion for the final Go-Team budget meeting was made to be held on March 1</w:t>
      </w:r>
      <w:r w:rsidRPr="008C6535">
        <w:rPr>
          <w:vertAlign w:val="superscript"/>
        </w:rPr>
        <w:t>st</w:t>
      </w:r>
      <w:r>
        <w:t xml:space="preserve"> at 5:15pm.</w:t>
      </w:r>
    </w:p>
    <w:p w:rsidR="008C6535" w:rsidRDefault="008C6535" w:rsidP="008C6535">
      <w:pPr>
        <w:pStyle w:val="NoSpacing"/>
        <w:numPr>
          <w:ilvl w:val="1"/>
          <w:numId w:val="34"/>
        </w:numPr>
      </w:pPr>
      <w:r>
        <w:t>Ms. Montague motioned to accept.</w:t>
      </w:r>
    </w:p>
    <w:p w:rsidR="008C6535" w:rsidRDefault="008C6535" w:rsidP="008C6535">
      <w:pPr>
        <w:pStyle w:val="NoSpacing"/>
        <w:numPr>
          <w:ilvl w:val="1"/>
          <w:numId w:val="34"/>
        </w:numPr>
      </w:pPr>
      <w:r>
        <w:t>Mr. Legend seconded the motion.</w:t>
      </w:r>
    </w:p>
    <w:p w:rsidR="008C6535" w:rsidRDefault="008C6535" w:rsidP="008C6535">
      <w:pPr>
        <w:pStyle w:val="NoSpacing"/>
        <w:ind w:left="1440"/>
      </w:pPr>
    </w:p>
    <w:p w:rsidR="008C6535" w:rsidRDefault="008C6535" w:rsidP="008C6535">
      <w:pPr>
        <w:pStyle w:val="NoSpacing"/>
        <w:ind w:left="360"/>
      </w:pPr>
      <w:r>
        <w:t>All present were in favor of the final Go-Team budget meeting.</w:t>
      </w:r>
    </w:p>
    <w:p w:rsidR="00DD151C" w:rsidRDefault="00DD151C" w:rsidP="00DD151C">
      <w:pPr>
        <w:pStyle w:val="NoSpacing"/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1433CD" w:rsidRPr="001433CD" w:rsidRDefault="001433CD" w:rsidP="001433CD">
      <w:pPr>
        <w:rPr>
          <w:b w:val="0"/>
        </w:rPr>
      </w:pPr>
      <w:r w:rsidRPr="001433CD">
        <w:rPr>
          <w:b w:val="0"/>
        </w:rPr>
        <w:t>There were no discussion items.</w:t>
      </w:r>
    </w:p>
    <w:p w:rsidR="00DC0758" w:rsidRDefault="00D325B6" w:rsidP="00DC0758">
      <w:pPr>
        <w:pStyle w:val="Heading1"/>
        <w:rPr>
          <w:color w:val="EA751A"/>
        </w:rPr>
      </w:pPr>
      <w:r>
        <w:rPr>
          <w:color w:val="EA751A"/>
        </w:rPr>
        <w:t>Information Items</w:t>
      </w:r>
      <w:r w:rsidR="00DC0758">
        <w:rPr>
          <w:color w:val="EA751A"/>
        </w:rPr>
        <w:t xml:space="preserve"> </w:t>
      </w:r>
    </w:p>
    <w:p w:rsidR="00D325B6" w:rsidRPr="00D325B6" w:rsidRDefault="001433CD" w:rsidP="00D325B6">
      <w:pPr>
        <w:pStyle w:val="NoSpacing"/>
        <w:rPr>
          <w:b/>
        </w:rPr>
      </w:pPr>
      <w:r>
        <w:rPr>
          <w:b/>
        </w:rPr>
        <w:t>FY 2019 Budget Presentation</w:t>
      </w:r>
    </w:p>
    <w:p w:rsidR="00D325B6" w:rsidRDefault="00D325B6" w:rsidP="00D325B6">
      <w:pPr>
        <w:pStyle w:val="NoSpacing"/>
      </w:pPr>
    </w:p>
    <w:p w:rsidR="00D325B6" w:rsidRDefault="001433CD" w:rsidP="00D325B6">
      <w:pPr>
        <w:pStyle w:val="NoSpacing"/>
        <w:numPr>
          <w:ilvl w:val="0"/>
          <w:numId w:val="31"/>
        </w:numPr>
      </w:pPr>
      <w:r>
        <w:t>King has stayed within its budget timeline for this year; the school board doesn’t vote until June and funding starts in July.</w:t>
      </w:r>
    </w:p>
    <w:p w:rsidR="001433CD" w:rsidRDefault="001433CD" w:rsidP="001433CD">
      <w:pPr>
        <w:pStyle w:val="NoSpacing"/>
        <w:ind w:left="810"/>
      </w:pPr>
    </w:p>
    <w:p w:rsidR="001433CD" w:rsidRDefault="001433CD" w:rsidP="001433CD">
      <w:pPr>
        <w:pStyle w:val="NoSpacing"/>
        <w:numPr>
          <w:ilvl w:val="0"/>
          <w:numId w:val="31"/>
        </w:numPr>
      </w:pPr>
      <w:r>
        <w:t>779 students are projected for the 2018-2019 School Year; 723 students for the 2017-2018 School Year.</w:t>
      </w:r>
    </w:p>
    <w:p w:rsidR="001433CD" w:rsidRDefault="001433CD" w:rsidP="001433CD">
      <w:pPr>
        <w:pStyle w:val="NoSpacing"/>
      </w:pPr>
    </w:p>
    <w:p w:rsidR="001433CD" w:rsidRDefault="001433CD" w:rsidP="00D325B6">
      <w:pPr>
        <w:pStyle w:val="NoSpacing"/>
        <w:numPr>
          <w:ilvl w:val="0"/>
          <w:numId w:val="31"/>
        </w:numPr>
      </w:pPr>
      <w:r>
        <w:t>The Student Success Formula (SSF) is based on student need.  Additional funding is based on our 6</w:t>
      </w:r>
      <w:r w:rsidRPr="001433CD">
        <w:rPr>
          <w:vertAlign w:val="superscript"/>
        </w:rPr>
        <w:t>th</w:t>
      </w:r>
      <w:r>
        <w:t xml:space="preserve"> grade population; extra funding for our special education and a gifted allotment.</w:t>
      </w:r>
    </w:p>
    <w:p w:rsidR="001433CD" w:rsidRDefault="001433CD" w:rsidP="001433CD">
      <w:pPr>
        <w:pStyle w:val="ListParagraph"/>
      </w:pPr>
    </w:p>
    <w:p w:rsidR="0007490D" w:rsidRDefault="0007490D" w:rsidP="001433CD">
      <w:pPr>
        <w:pStyle w:val="ListParagraph"/>
      </w:pPr>
    </w:p>
    <w:p w:rsidR="0007490D" w:rsidRDefault="0007490D" w:rsidP="001433CD">
      <w:pPr>
        <w:pStyle w:val="ListParagraph"/>
      </w:pPr>
    </w:p>
    <w:p w:rsidR="0007490D" w:rsidRDefault="0007490D" w:rsidP="001433CD">
      <w:pPr>
        <w:pStyle w:val="ListParagraph"/>
      </w:pPr>
    </w:p>
    <w:p w:rsidR="0007490D" w:rsidRDefault="0007490D" w:rsidP="001433CD">
      <w:pPr>
        <w:pStyle w:val="ListParagraph"/>
      </w:pPr>
    </w:p>
    <w:p w:rsidR="0007490D" w:rsidRDefault="0007490D" w:rsidP="001433CD">
      <w:pPr>
        <w:pStyle w:val="ListParagraph"/>
      </w:pPr>
    </w:p>
    <w:p w:rsidR="001433CD" w:rsidRDefault="001433CD" w:rsidP="00E82F32">
      <w:pPr>
        <w:pStyle w:val="NoSpacing"/>
        <w:numPr>
          <w:ilvl w:val="0"/>
          <w:numId w:val="31"/>
        </w:numPr>
      </w:pPr>
      <w:r>
        <w:t>King is currently completing its 2</w:t>
      </w:r>
      <w:r w:rsidRPr="001433CD">
        <w:rPr>
          <w:vertAlign w:val="superscript"/>
        </w:rPr>
        <w:t>nd</w:t>
      </w:r>
      <w:r>
        <w:t xml:space="preserve"> year of candidacy for IB</w:t>
      </w:r>
      <w:r w:rsidR="0007490D">
        <w:t>; IB consultant is scheduled for March to come and see our program as we move into authorization.  It cost $154,000 to support IB</w:t>
      </w:r>
      <w:r w:rsidR="00E82F32">
        <w:t>.</w:t>
      </w:r>
    </w:p>
    <w:p w:rsidR="00E82F32" w:rsidRDefault="00E82F32" w:rsidP="00E82F32">
      <w:pPr>
        <w:pStyle w:val="NoSpacing"/>
        <w:ind w:left="810"/>
      </w:pPr>
    </w:p>
    <w:p w:rsidR="00E82F32" w:rsidRDefault="00E82F32" w:rsidP="00E82F32">
      <w:pPr>
        <w:pStyle w:val="NoSpacing"/>
        <w:numPr>
          <w:ilvl w:val="0"/>
          <w:numId w:val="31"/>
        </w:numPr>
      </w:pPr>
      <w:r>
        <w:t>Title I is based on CAPS and SNAPS.  King is receiving $391,000, in which $71,000 is held back.  This money will be received if King makes its projected enrollment.</w:t>
      </w:r>
    </w:p>
    <w:p w:rsidR="00E82F32" w:rsidRDefault="00E82F32" w:rsidP="00E82F32">
      <w:pPr>
        <w:pStyle w:val="NoSpacing"/>
      </w:pPr>
    </w:p>
    <w:p w:rsidR="00E82F32" w:rsidRDefault="00E82F32" w:rsidP="00E82F32">
      <w:pPr>
        <w:pStyle w:val="NoSpacing"/>
        <w:numPr>
          <w:ilvl w:val="0"/>
          <w:numId w:val="31"/>
        </w:numPr>
      </w:pPr>
      <w:r>
        <w:t xml:space="preserve">The FY 2019 budget for King is $7,301,952.00.  </w:t>
      </w:r>
    </w:p>
    <w:p w:rsidR="00E82F32" w:rsidRDefault="00E82F32" w:rsidP="00E82F32">
      <w:pPr>
        <w:pStyle w:val="NoSpacing"/>
      </w:pPr>
    </w:p>
    <w:p w:rsidR="00E82F32" w:rsidRDefault="00E82F32" w:rsidP="00B34A40">
      <w:pPr>
        <w:pStyle w:val="NoSpacing"/>
        <w:numPr>
          <w:ilvl w:val="0"/>
          <w:numId w:val="31"/>
        </w:numPr>
      </w:pPr>
      <w:r>
        <w:t>The listed priorities from the Go-Team were taken into consideration for the budget.  The biggest cost is IB.  Based on the IB requirements, King will possibly have to hire an additional four language teachers.</w:t>
      </w:r>
    </w:p>
    <w:p w:rsidR="00B34A40" w:rsidRDefault="00B34A40" w:rsidP="00B34A40">
      <w:pPr>
        <w:pStyle w:val="NoSpacing"/>
      </w:pPr>
    </w:p>
    <w:p w:rsidR="00266972" w:rsidRDefault="00E82F32" w:rsidP="00266972">
      <w:pPr>
        <w:pStyle w:val="NoSpacing"/>
        <w:numPr>
          <w:ilvl w:val="0"/>
          <w:numId w:val="31"/>
        </w:numPr>
      </w:pPr>
      <w:r>
        <w:t xml:space="preserve"> APS has adopted a new science textbook.  A set of 30 science books will cost</w:t>
      </w:r>
      <w:r w:rsidR="00B34A40">
        <w:t xml:space="preserve"> $3,300; $88,000 from the budget has been allotted to purchase science textbooks.</w:t>
      </w:r>
    </w:p>
    <w:p w:rsidR="00266972" w:rsidRDefault="00266972" w:rsidP="00266972">
      <w:pPr>
        <w:pStyle w:val="NoSpacing"/>
      </w:pPr>
    </w:p>
    <w:p w:rsidR="00266972" w:rsidRDefault="00266972" w:rsidP="00266972">
      <w:pPr>
        <w:pStyle w:val="NoSpacing"/>
        <w:numPr>
          <w:ilvl w:val="0"/>
          <w:numId w:val="31"/>
        </w:numPr>
      </w:pPr>
      <w:r>
        <w:t xml:space="preserve">Literacy and reading are over-arching issues of students not being successful.  Currently looking into an accelerated program with technology that students could be utilized at home. </w:t>
      </w:r>
    </w:p>
    <w:p w:rsidR="00266972" w:rsidRDefault="00266972" w:rsidP="00266972">
      <w:pPr>
        <w:pStyle w:val="NoSpacing"/>
      </w:pPr>
    </w:p>
    <w:p w:rsidR="00C056AD" w:rsidRDefault="00C056AD" w:rsidP="00D325B6">
      <w:pPr>
        <w:pStyle w:val="NoSpacing"/>
        <w:numPr>
          <w:ilvl w:val="0"/>
          <w:numId w:val="31"/>
        </w:numPr>
      </w:pPr>
      <w:r>
        <w:t>Budget Breakdown</w:t>
      </w:r>
    </w:p>
    <w:p w:rsidR="00C056AD" w:rsidRDefault="00C056AD" w:rsidP="00C056AD">
      <w:pPr>
        <w:pStyle w:val="NoSpacing"/>
        <w:numPr>
          <w:ilvl w:val="1"/>
          <w:numId w:val="31"/>
        </w:numPr>
      </w:pPr>
      <w:r>
        <w:t>$7,301,952.00</w:t>
      </w:r>
    </w:p>
    <w:p w:rsidR="00C056AD" w:rsidRDefault="00C056AD" w:rsidP="00C056AD">
      <w:pPr>
        <w:pStyle w:val="NoSpacing"/>
        <w:numPr>
          <w:ilvl w:val="1"/>
          <w:numId w:val="31"/>
        </w:numPr>
      </w:pPr>
      <w:r>
        <w:t>IB - $154,000</w:t>
      </w:r>
    </w:p>
    <w:p w:rsidR="00266972" w:rsidRDefault="00266972" w:rsidP="00C056AD">
      <w:pPr>
        <w:pStyle w:val="NoSpacing"/>
        <w:numPr>
          <w:ilvl w:val="1"/>
          <w:numId w:val="31"/>
        </w:numPr>
      </w:pPr>
      <w:r>
        <w:t xml:space="preserve">Communities In Schools (CIS) </w:t>
      </w:r>
    </w:p>
    <w:p w:rsidR="00C056AD" w:rsidRDefault="00C056AD" w:rsidP="00C056AD">
      <w:pPr>
        <w:pStyle w:val="NoSpacing"/>
        <w:numPr>
          <w:ilvl w:val="1"/>
          <w:numId w:val="31"/>
        </w:numPr>
      </w:pPr>
      <w:r>
        <w:t>63 salaried staff members (teachers, counselors, special education teachers, and connections teachers).</w:t>
      </w:r>
    </w:p>
    <w:p w:rsidR="00C056AD" w:rsidRDefault="00C056AD" w:rsidP="00C056AD">
      <w:pPr>
        <w:pStyle w:val="NoSpacing"/>
        <w:numPr>
          <w:ilvl w:val="1"/>
          <w:numId w:val="31"/>
        </w:numPr>
      </w:pPr>
      <w:r>
        <w:t>Instructional para-professionals and social worker (Pupil Services)</w:t>
      </w:r>
    </w:p>
    <w:p w:rsidR="00C056AD" w:rsidRDefault="00C056AD" w:rsidP="00C056AD">
      <w:pPr>
        <w:pStyle w:val="NoSpacing"/>
        <w:numPr>
          <w:ilvl w:val="1"/>
          <w:numId w:val="31"/>
        </w:numPr>
      </w:pPr>
      <w:r>
        <w:t>IB and instructional coaches (Improvement of Instruction</w:t>
      </w:r>
      <w:r w:rsidR="00916D66">
        <w:t>al Services</w:t>
      </w:r>
      <w:r>
        <w:t>)</w:t>
      </w:r>
    </w:p>
    <w:p w:rsidR="00916D66" w:rsidRDefault="00916D66" w:rsidP="00C056AD">
      <w:pPr>
        <w:pStyle w:val="NoSpacing"/>
        <w:numPr>
          <w:ilvl w:val="1"/>
          <w:numId w:val="31"/>
        </w:numPr>
      </w:pPr>
      <w:r>
        <w:t>Media Specialist (Education Media)</w:t>
      </w:r>
    </w:p>
    <w:p w:rsidR="00C056AD" w:rsidRDefault="00916D66" w:rsidP="00916D66">
      <w:pPr>
        <w:pStyle w:val="NoSpacing"/>
        <w:numPr>
          <w:ilvl w:val="1"/>
          <w:numId w:val="31"/>
        </w:numPr>
      </w:pPr>
      <w:r>
        <w:t>Principal, Assistant Principals, and administrative staff (School Administration)</w:t>
      </w:r>
    </w:p>
    <w:p w:rsidR="00916D66" w:rsidRDefault="00916D66" w:rsidP="00916D66">
      <w:pPr>
        <w:pStyle w:val="NoSpacing"/>
        <w:ind w:left="1530"/>
      </w:pPr>
    </w:p>
    <w:p w:rsidR="00C056AD" w:rsidRDefault="00916D66" w:rsidP="00D325B6">
      <w:pPr>
        <w:pStyle w:val="NoSpacing"/>
        <w:numPr>
          <w:ilvl w:val="0"/>
          <w:numId w:val="31"/>
        </w:numPr>
      </w:pPr>
      <w:r>
        <w:t>74% of the budget is spent in instruction</w:t>
      </w:r>
    </w:p>
    <w:p w:rsidR="00423302" w:rsidRDefault="00423302" w:rsidP="00423302">
      <w:pPr>
        <w:pStyle w:val="NoSpacing"/>
        <w:ind w:left="810"/>
      </w:pPr>
    </w:p>
    <w:p w:rsidR="00916D66" w:rsidRDefault="00916D66" w:rsidP="00D325B6">
      <w:pPr>
        <w:pStyle w:val="NoSpacing"/>
        <w:numPr>
          <w:ilvl w:val="0"/>
          <w:numId w:val="31"/>
        </w:numPr>
      </w:pPr>
      <w:r>
        <w:t>Budget Shortfalls</w:t>
      </w:r>
    </w:p>
    <w:p w:rsidR="00916D66" w:rsidRDefault="00916D66" w:rsidP="00916D66">
      <w:pPr>
        <w:pStyle w:val="NoSpacing"/>
        <w:numPr>
          <w:ilvl w:val="1"/>
          <w:numId w:val="31"/>
        </w:numPr>
      </w:pPr>
      <w:r>
        <w:t>Transportation is not fully funded for After School Program</w:t>
      </w:r>
    </w:p>
    <w:p w:rsidR="00916D66" w:rsidRDefault="00916D66" w:rsidP="00916D66">
      <w:pPr>
        <w:pStyle w:val="NoSpacing"/>
        <w:numPr>
          <w:ilvl w:val="1"/>
          <w:numId w:val="31"/>
        </w:numPr>
      </w:pPr>
      <w:r>
        <w:t>Additional instructional supplies</w:t>
      </w:r>
    </w:p>
    <w:p w:rsidR="00916D66" w:rsidRDefault="00916D66" w:rsidP="00916D66">
      <w:pPr>
        <w:pStyle w:val="NoSpacing"/>
        <w:numPr>
          <w:ilvl w:val="1"/>
          <w:numId w:val="31"/>
        </w:numPr>
      </w:pPr>
      <w:r>
        <w:t>Adding more para-professionals other than the 4 that are already at King</w:t>
      </w:r>
    </w:p>
    <w:p w:rsidR="00E82F32" w:rsidRDefault="00916D66" w:rsidP="00F15E17">
      <w:pPr>
        <w:pStyle w:val="NoSpacing"/>
        <w:numPr>
          <w:ilvl w:val="1"/>
          <w:numId w:val="31"/>
        </w:numPr>
      </w:pPr>
      <w:r>
        <w:t>Other educational software (e.g. I-Ready, Study Island)</w:t>
      </w:r>
    </w:p>
    <w:p w:rsidR="00F15E17" w:rsidRDefault="00F15E17" w:rsidP="00F15E17">
      <w:pPr>
        <w:pStyle w:val="NoSpacing"/>
        <w:ind w:left="1530"/>
      </w:pPr>
    </w:p>
    <w:p w:rsidR="00E82F32" w:rsidRDefault="00F15E17" w:rsidP="00D325B6">
      <w:pPr>
        <w:pStyle w:val="NoSpacing"/>
        <w:numPr>
          <w:ilvl w:val="0"/>
          <w:numId w:val="31"/>
        </w:numPr>
      </w:pPr>
      <w:r>
        <w:t>Pool and Maintenance – Manager, two swim teachers, two life guards. These staff members need to be in place so that the pool can be operated full-time each day.</w:t>
      </w:r>
      <w:r w:rsidR="008E5106">
        <w:t xml:space="preserve">  This funding will not come from the general budget.</w:t>
      </w:r>
    </w:p>
    <w:p w:rsidR="007004F5" w:rsidRDefault="007004F5" w:rsidP="007004F5">
      <w:pPr>
        <w:pStyle w:val="NoSpacing"/>
        <w:ind w:left="810"/>
      </w:pPr>
    </w:p>
    <w:p w:rsidR="007004F5" w:rsidRPr="007004F5" w:rsidRDefault="007004F5" w:rsidP="007004F5">
      <w:pPr>
        <w:pStyle w:val="NoSpacing"/>
        <w:rPr>
          <w:b/>
        </w:rPr>
      </w:pPr>
      <w:r w:rsidRPr="007004F5">
        <w:rPr>
          <w:b/>
        </w:rPr>
        <w:t>Community Foundation Workshop</w:t>
      </w:r>
    </w:p>
    <w:p w:rsidR="007004F5" w:rsidRDefault="007004F5" w:rsidP="00D325B6">
      <w:pPr>
        <w:pStyle w:val="NoSpacing"/>
        <w:numPr>
          <w:ilvl w:val="0"/>
          <w:numId w:val="31"/>
        </w:numPr>
      </w:pPr>
      <w:r>
        <w:t>Broken into 3 parts</w:t>
      </w:r>
    </w:p>
    <w:p w:rsidR="007004F5" w:rsidRDefault="007004F5" w:rsidP="007004F5">
      <w:pPr>
        <w:pStyle w:val="NoSpacing"/>
        <w:numPr>
          <w:ilvl w:val="1"/>
          <w:numId w:val="31"/>
        </w:numPr>
      </w:pPr>
      <w:r>
        <w:t>IB</w:t>
      </w:r>
    </w:p>
    <w:p w:rsidR="007004F5" w:rsidRDefault="007004F5" w:rsidP="007004F5">
      <w:pPr>
        <w:pStyle w:val="NoSpacing"/>
        <w:numPr>
          <w:ilvl w:val="1"/>
          <w:numId w:val="31"/>
        </w:numPr>
      </w:pPr>
      <w:r>
        <w:t>Grant Writing</w:t>
      </w:r>
    </w:p>
    <w:p w:rsidR="007004F5" w:rsidRDefault="00EF5FC9" w:rsidP="007004F5">
      <w:pPr>
        <w:pStyle w:val="NoSpacing"/>
        <w:numPr>
          <w:ilvl w:val="1"/>
          <w:numId w:val="31"/>
        </w:numPr>
      </w:pPr>
      <w:r>
        <w:t>Every Student Succeeds Act (ESSA)</w:t>
      </w:r>
    </w:p>
    <w:p w:rsidR="00F15E17" w:rsidRDefault="00F15E17" w:rsidP="007004F5">
      <w:pPr>
        <w:pStyle w:val="NoSpacing"/>
        <w:ind w:left="810"/>
      </w:pPr>
    </w:p>
    <w:p w:rsidR="001433CD" w:rsidRDefault="001433CD" w:rsidP="001433CD">
      <w:pPr>
        <w:pStyle w:val="NoSpacing"/>
      </w:pPr>
    </w:p>
    <w:p w:rsidR="00E1510E" w:rsidRDefault="00E1510E" w:rsidP="001433CD">
      <w:pPr>
        <w:pStyle w:val="NoSpacing"/>
      </w:pPr>
    </w:p>
    <w:p w:rsidR="00D325B6" w:rsidRDefault="00D325B6" w:rsidP="00D325B6">
      <w:pPr>
        <w:pStyle w:val="NoSpacing"/>
      </w:pPr>
    </w:p>
    <w:p w:rsidR="003E6D85" w:rsidRDefault="003E6D85" w:rsidP="00E1510E">
      <w:pPr>
        <w:pStyle w:val="NoSpacing"/>
        <w:numPr>
          <w:ilvl w:val="0"/>
          <w:numId w:val="32"/>
        </w:numPr>
      </w:pPr>
      <w:r>
        <w:t xml:space="preserve">A one-time grant of up to $4,000 can be received.  </w:t>
      </w:r>
      <w:r w:rsidR="00EF5FC9">
        <w:t xml:space="preserve">The grant can be submitted individually, or jointly as a Go-Team.  </w:t>
      </w:r>
      <w:r>
        <w:t>It can be used for equipment for classrooms; activity supplies; foreign language books and language instruction materials; literacy development materials; fieldtrips and other excursions.  Applications are due by March 15</w:t>
      </w:r>
      <w:r w:rsidRPr="003E6D85">
        <w:rPr>
          <w:vertAlign w:val="superscript"/>
        </w:rPr>
        <w:t>th</w:t>
      </w:r>
      <w:r>
        <w:t xml:space="preserve">.  </w:t>
      </w:r>
    </w:p>
    <w:p w:rsidR="003E6D85" w:rsidRDefault="003E6D85" w:rsidP="003E6D85">
      <w:pPr>
        <w:pStyle w:val="NoSpacing"/>
        <w:ind w:left="1080"/>
      </w:pPr>
    </w:p>
    <w:p w:rsidR="003E6D85" w:rsidRDefault="003E6D85" w:rsidP="00E1510E">
      <w:pPr>
        <w:pStyle w:val="NoSpacing"/>
        <w:numPr>
          <w:ilvl w:val="0"/>
          <w:numId w:val="32"/>
        </w:numPr>
      </w:pPr>
      <w:r>
        <w:t>The following must be submitted along with the grant:</w:t>
      </w:r>
    </w:p>
    <w:p w:rsidR="00D325B6" w:rsidRDefault="003E6D85" w:rsidP="003E6D85">
      <w:pPr>
        <w:pStyle w:val="NoSpacing"/>
        <w:numPr>
          <w:ilvl w:val="1"/>
          <w:numId w:val="32"/>
        </w:numPr>
      </w:pPr>
      <w:r>
        <w:t xml:space="preserve">Go-Team Innovation Grant Application </w:t>
      </w:r>
    </w:p>
    <w:p w:rsidR="003E6D85" w:rsidRDefault="003E6D85" w:rsidP="003E6D85">
      <w:pPr>
        <w:pStyle w:val="NoSpacing"/>
        <w:numPr>
          <w:ilvl w:val="1"/>
          <w:numId w:val="32"/>
        </w:numPr>
      </w:pPr>
      <w:r>
        <w:t>Budget template for the proposed project</w:t>
      </w:r>
    </w:p>
    <w:p w:rsidR="003E6D85" w:rsidRDefault="003E6D85" w:rsidP="003E6D85">
      <w:pPr>
        <w:pStyle w:val="NoSpacing"/>
        <w:numPr>
          <w:ilvl w:val="1"/>
          <w:numId w:val="32"/>
        </w:numPr>
      </w:pPr>
      <w:r>
        <w:t>Copy of school’s strategic plan</w:t>
      </w:r>
    </w:p>
    <w:p w:rsidR="003E6D85" w:rsidRDefault="003E6D85" w:rsidP="003E6D85">
      <w:pPr>
        <w:pStyle w:val="NoSpacing"/>
        <w:ind w:left="1800"/>
      </w:pPr>
    </w:p>
    <w:p w:rsidR="003E6D85" w:rsidRDefault="003E6D85" w:rsidP="003E6D85">
      <w:pPr>
        <w:pStyle w:val="NoSpacing"/>
        <w:numPr>
          <w:ilvl w:val="0"/>
          <w:numId w:val="32"/>
        </w:numPr>
      </w:pPr>
      <w:r>
        <w:t>Grant guidelines will be emailed to members of the Go-Team prior to the next meeting for review.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C52E8C" w:rsidRPr="00C52E8C" w:rsidRDefault="00C52E8C" w:rsidP="00C52E8C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C52E8C">
        <w:rPr>
          <w:b w:val="0"/>
        </w:rPr>
        <w:t>Next meeting</w:t>
      </w:r>
      <w:r w:rsidR="0095472F">
        <w:rPr>
          <w:b w:val="0"/>
        </w:rPr>
        <w:t xml:space="preserve"> is scheduled for the March 1, 2018</w:t>
      </w:r>
      <w:r w:rsidRPr="00C52E8C">
        <w:rPr>
          <w:b w:val="0"/>
        </w:rPr>
        <w:t>.</w:t>
      </w:r>
    </w:p>
    <w:p w:rsidR="00C52E8C" w:rsidRDefault="00C27C66" w:rsidP="00C52E8C">
      <w:pPr>
        <w:pStyle w:val="NoSpacing"/>
        <w:numPr>
          <w:ilvl w:val="0"/>
          <w:numId w:val="11"/>
        </w:numPr>
      </w:pPr>
      <w:r>
        <w:t xml:space="preserve">X-Finity Essentials - access to internet services for $9/month. This is something that will be looked into as a way for all students to be able to have internet service at home to use technology to support instruction. </w:t>
      </w:r>
      <w:r w:rsidR="00C52E8C">
        <w:t xml:space="preserve"> </w:t>
      </w:r>
    </w:p>
    <w:p w:rsidR="006509CE" w:rsidRPr="00C27C66" w:rsidRDefault="006509CE" w:rsidP="00C27C66">
      <w:pPr>
        <w:spacing w:line="276" w:lineRule="auto"/>
        <w:rPr>
          <w:b w:val="0"/>
        </w:rPr>
      </w:pPr>
    </w:p>
    <w:p w:rsidR="00135FCE" w:rsidRDefault="00135FCE" w:rsidP="00135FCE">
      <w:pPr>
        <w:tabs>
          <w:tab w:val="left" w:pos="2820"/>
        </w:tabs>
        <w:rPr>
          <w:color w:val="EA751A"/>
          <w:sz w:val="28"/>
          <w:szCs w:val="28"/>
        </w:rPr>
      </w:pPr>
      <w:r>
        <w:rPr>
          <w:color w:val="EA751A"/>
          <w:sz w:val="28"/>
          <w:szCs w:val="28"/>
        </w:rPr>
        <w:t>Adjournment</w:t>
      </w:r>
      <w:r w:rsidRPr="00332B2E">
        <w:rPr>
          <w:color w:val="EA751A"/>
          <w:sz w:val="28"/>
          <w:szCs w:val="28"/>
        </w:rPr>
        <w:t xml:space="preserve"> </w:t>
      </w:r>
    </w:p>
    <w:p w:rsidR="00557C52" w:rsidRDefault="00557C52" w:rsidP="001564E8">
      <w:pPr>
        <w:spacing w:line="276" w:lineRule="auto"/>
        <w:rPr>
          <w:b w:val="0"/>
        </w:rPr>
      </w:pPr>
      <w:r>
        <w:rPr>
          <w:b w:val="0"/>
        </w:rPr>
        <w:t xml:space="preserve">A </w:t>
      </w:r>
      <w:r w:rsidR="008B425C">
        <w:rPr>
          <w:b w:val="0"/>
        </w:rPr>
        <w:t>motion to</w:t>
      </w:r>
      <w:r w:rsidR="0007490D">
        <w:rPr>
          <w:b w:val="0"/>
        </w:rPr>
        <w:t xml:space="preserve"> adjourn was made by Mr. Keith.  Mr. Legend</w:t>
      </w:r>
      <w:r w:rsidR="00474F2C">
        <w:rPr>
          <w:b w:val="0"/>
        </w:rPr>
        <w:t xml:space="preserve"> seconded the motion.</w:t>
      </w:r>
    </w:p>
    <w:p w:rsidR="00F40F66" w:rsidRPr="00474F2C" w:rsidRDefault="00557C52" w:rsidP="00474F2C">
      <w:pPr>
        <w:spacing w:line="276" w:lineRule="auto"/>
        <w:rPr>
          <w:b w:val="0"/>
        </w:rPr>
      </w:pPr>
      <w:r>
        <w:rPr>
          <w:b w:val="0"/>
        </w:rPr>
        <w:t>T</w:t>
      </w:r>
      <w:r w:rsidR="0007490D">
        <w:rPr>
          <w:b w:val="0"/>
        </w:rPr>
        <w:t>he meeting was adjourned at 6:10</w:t>
      </w:r>
      <w:r>
        <w:rPr>
          <w:b w:val="0"/>
        </w:rPr>
        <w:t xml:space="preserve"> 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1564E8">
            <w:pPr>
              <w:pStyle w:val="NoSpacing"/>
            </w:pPr>
            <w:r>
              <w:t>Bodicia Ridley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C400E2" w:rsidRDefault="00C400E2" w:rsidP="00C400E2"/>
    <w:sectPr w:rsidR="00C400E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AD" w:rsidRDefault="00B91BAD">
      <w:pPr>
        <w:spacing w:before="0" w:after="0" w:line="240" w:lineRule="auto"/>
      </w:pPr>
      <w:r>
        <w:separator/>
      </w:r>
    </w:p>
  </w:endnote>
  <w:endnote w:type="continuationSeparator" w:id="0">
    <w:p w:rsidR="00B91BAD" w:rsidRDefault="00B91B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F358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AD" w:rsidRDefault="00B91BAD">
      <w:pPr>
        <w:spacing w:before="0" w:after="0" w:line="240" w:lineRule="auto"/>
      </w:pPr>
      <w:r>
        <w:separator/>
      </w:r>
    </w:p>
  </w:footnote>
  <w:footnote w:type="continuationSeparator" w:id="0">
    <w:p w:rsidR="00B91BAD" w:rsidRDefault="00B91B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7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917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BC6198"/>
    <w:multiLevelType w:val="hybridMultilevel"/>
    <w:tmpl w:val="A126C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3185C"/>
    <w:multiLevelType w:val="hybridMultilevel"/>
    <w:tmpl w:val="E73EF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76845"/>
    <w:multiLevelType w:val="hybridMultilevel"/>
    <w:tmpl w:val="86248CC4"/>
    <w:lvl w:ilvl="0" w:tplc="A8E29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BF2"/>
    <w:multiLevelType w:val="hybridMultilevel"/>
    <w:tmpl w:val="7BE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243"/>
    <w:multiLevelType w:val="hybridMultilevel"/>
    <w:tmpl w:val="2732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C858C9"/>
    <w:multiLevelType w:val="hybridMultilevel"/>
    <w:tmpl w:val="CA38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73284"/>
    <w:multiLevelType w:val="hybridMultilevel"/>
    <w:tmpl w:val="3BF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41A5F"/>
    <w:multiLevelType w:val="hybridMultilevel"/>
    <w:tmpl w:val="A5726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71E83"/>
    <w:multiLevelType w:val="hybridMultilevel"/>
    <w:tmpl w:val="5A0CEF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5E1972"/>
    <w:multiLevelType w:val="hybridMultilevel"/>
    <w:tmpl w:val="C102D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14B85"/>
    <w:multiLevelType w:val="hybridMultilevel"/>
    <w:tmpl w:val="D3FADE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2022CF6"/>
    <w:multiLevelType w:val="hybridMultilevel"/>
    <w:tmpl w:val="2C041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02600"/>
    <w:multiLevelType w:val="hybridMultilevel"/>
    <w:tmpl w:val="EDFC6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773F7"/>
    <w:multiLevelType w:val="hybridMultilevel"/>
    <w:tmpl w:val="4D42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9F3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1B16DD0"/>
    <w:multiLevelType w:val="hybridMultilevel"/>
    <w:tmpl w:val="C5E81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4514A"/>
    <w:multiLevelType w:val="hybridMultilevel"/>
    <w:tmpl w:val="A4C0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34CE6"/>
    <w:multiLevelType w:val="hybridMultilevel"/>
    <w:tmpl w:val="CB0C3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6DB7631"/>
    <w:multiLevelType w:val="hybridMultilevel"/>
    <w:tmpl w:val="2B7CA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30041C"/>
    <w:multiLevelType w:val="hybridMultilevel"/>
    <w:tmpl w:val="7FD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50CD"/>
    <w:multiLevelType w:val="hybridMultilevel"/>
    <w:tmpl w:val="2FB8F4D8"/>
    <w:lvl w:ilvl="0" w:tplc="35CE7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3CE3"/>
    <w:multiLevelType w:val="hybridMultilevel"/>
    <w:tmpl w:val="96FE14B4"/>
    <w:lvl w:ilvl="0" w:tplc="8D100CD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025E3"/>
    <w:multiLevelType w:val="hybridMultilevel"/>
    <w:tmpl w:val="C0703202"/>
    <w:lvl w:ilvl="0" w:tplc="CC127C02">
      <w:start w:val="1"/>
      <w:numFmt w:val="decimal"/>
      <w:lvlText w:val="%1)"/>
      <w:lvlJc w:val="left"/>
      <w:pPr>
        <w:ind w:left="1080" w:hanging="360"/>
      </w:pPr>
      <w:rPr>
        <w:rFonts w:asciiTheme="majorHAnsi" w:eastAsiaTheme="majorEastAsia" w:hAnsiTheme="majorHAns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75DDA"/>
    <w:multiLevelType w:val="hybridMultilevel"/>
    <w:tmpl w:val="74DA5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F24A6"/>
    <w:multiLevelType w:val="hybridMultilevel"/>
    <w:tmpl w:val="71565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1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3A00F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51B5616"/>
    <w:multiLevelType w:val="hybridMultilevel"/>
    <w:tmpl w:val="89C4C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B356F3"/>
    <w:multiLevelType w:val="hybridMultilevel"/>
    <w:tmpl w:val="DFE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56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FE25B44"/>
    <w:multiLevelType w:val="hybridMultilevel"/>
    <w:tmpl w:val="CCF4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28"/>
  </w:num>
  <w:num w:numId="5">
    <w:abstractNumId w:val="23"/>
  </w:num>
  <w:num w:numId="6">
    <w:abstractNumId w:val="4"/>
  </w:num>
  <w:num w:numId="7">
    <w:abstractNumId w:val="0"/>
  </w:num>
  <w:num w:numId="8">
    <w:abstractNumId w:val="32"/>
  </w:num>
  <w:num w:numId="9">
    <w:abstractNumId w:val="16"/>
  </w:num>
  <w:num w:numId="10">
    <w:abstractNumId w:val="1"/>
  </w:num>
  <w:num w:numId="11">
    <w:abstractNumId w:val="33"/>
  </w:num>
  <w:num w:numId="12">
    <w:abstractNumId w:val="24"/>
  </w:num>
  <w:num w:numId="13">
    <w:abstractNumId w:val="9"/>
  </w:num>
  <w:num w:numId="14">
    <w:abstractNumId w:val="5"/>
  </w:num>
  <w:num w:numId="15">
    <w:abstractNumId w:val="6"/>
  </w:num>
  <w:num w:numId="16">
    <w:abstractNumId w:val="20"/>
  </w:num>
  <w:num w:numId="17">
    <w:abstractNumId w:val="8"/>
  </w:num>
  <w:num w:numId="18">
    <w:abstractNumId w:val="11"/>
  </w:num>
  <w:num w:numId="19">
    <w:abstractNumId w:val="14"/>
  </w:num>
  <w:num w:numId="20">
    <w:abstractNumId w:val="31"/>
  </w:num>
  <w:num w:numId="21">
    <w:abstractNumId w:val="19"/>
  </w:num>
  <w:num w:numId="22">
    <w:abstractNumId w:val="15"/>
  </w:num>
  <w:num w:numId="23">
    <w:abstractNumId w:val="26"/>
  </w:num>
  <w:num w:numId="24">
    <w:abstractNumId w:val="7"/>
  </w:num>
  <w:num w:numId="25">
    <w:abstractNumId w:val="13"/>
  </w:num>
  <w:num w:numId="26">
    <w:abstractNumId w:val="30"/>
  </w:num>
  <w:num w:numId="27">
    <w:abstractNumId w:val="3"/>
  </w:num>
  <w:num w:numId="28">
    <w:abstractNumId w:val="27"/>
  </w:num>
  <w:num w:numId="29">
    <w:abstractNumId w:val="18"/>
  </w:num>
  <w:num w:numId="30">
    <w:abstractNumId w:val="2"/>
  </w:num>
  <w:num w:numId="31">
    <w:abstractNumId w:val="12"/>
  </w:num>
  <w:num w:numId="32">
    <w:abstractNumId w:val="17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37C7"/>
    <w:rsid w:val="000570D5"/>
    <w:rsid w:val="0007490D"/>
    <w:rsid w:val="000A205C"/>
    <w:rsid w:val="000D4393"/>
    <w:rsid w:val="000D4DCC"/>
    <w:rsid w:val="00103490"/>
    <w:rsid w:val="0011650A"/>
    <w:rsid w:val="00127487"/>
    <w:rsid w:val="00135FCE"/>
    <w:rsid w:val="001433CD"/>
    <w:rsid w:val="001564E8"/>
    <w:rsid w:val="00162064"/>
    <w:rsid w:val="00184DD5"/>
    <w:rsid w:val="001916EA"/>
    <w:rsid w:val="00196647"/>
    <w:rsid w:val="001A0B5B"/>
    <w:rsid w:val="001A2CD6"/>
    <w:rsid w:val="001E22A6"/>
    <w:rsid w:val="001E2CDD"/>
    <w:rsid w:val="0020309A"/>
    <w:rsid w:val="00204371"/>
    <w:rsid w:val="00204B76"/>
    <w:rsid w:val="002249BF"/>
    <w:rsid w:val="00225478"/>
    <w:rsid w:val="00257555"/>
    <w:rsid w:val="00265B58"/>
    <w:rsid w:val="00266972"/>
    <w:rsid w:val="00277D5F"/>
    <w:rsid w:val="00286E90"/>
    <w:rsid w:val="002A2412"/>
    <w:rsid w:val="002D7AE5"/>
    <w:rsid w:val="002E188B"/>
    <w:rsid w:val="002E2496"/>
    <w:rsid w:val="002F0D5B"/>
    <w:rsid w:val="002F3582"/>
    <w:rsid w:val="003145E8"/>
    <w:rsid w:val="0032757D"/>
    <w:rsid w:val="00332B2E"/>
    <w:rsid w:val="003414CA"/>
    <w:rsid w:val="00344C1A"/>
    <w:rsid w:val="003467FF"/>
    <w:rsid w:val="00352026"/>
    <w:rsid w:val="0037268F"/>
    <w:rsid w:val="0039395D"/>
    <w:rsid w:val="003B2928"/>
    <w:rsid w:val="003C10CA"/>
    <w:rsid w:val="003E6D85"/>
    <w:rsid w:val="004059F1"/>
    <w:rsid w:val="0040797B"/>
    <w:rsid w:val="00423302"/>
    <w:rsid w:val="004339B1"/>
    <w:rsid w:val="00470573"/>
    <w:rsid w:val="00474F2C"/>
    <w:rsid w:val="00484DB3"/>
    <w:rsid w:val="004B19B4"/>
    <w:rsid w:val="004F2674"/>
    <w:rsid w:val="00501477"/>
    <w:rsid w:val="00534AA0"/>
    <w:rsid w:val="005501A0"/>
    <w:rsid w:val="00557C52"/>
    <w:rsid w:val="00560A52"/>
    <w:rsid w:val="00563CFE"/>
    <w:rsid w:val="005C7664"/>
    <w:rsid w:val="00606AC1"/>
    <w:rsid w:val="00645178"/>
    <w:rsid w:val="006509CE"/>
    <w:rsid w:val="0066007F"/>
    <w:rsid w:val="00676F1D"/>
    <w:rsid w:val="00685997"/>
    <w:rsid w:val="00687CF5"/>
    <w:rsid w:val="006A2654"/>
    <w:rsid w:val="006B7F5C"/>
    <w:rsid w:val="006C0489"/>
    <w:rsid w:val="006C1E17"/>
    <w:rsid w:val="006D6E4C"/>
    <w:rsid w:val="006E7B3C"/>
    <w:rsid w:val="006F67AD"/>
    <w:rsid w:val="007004F5"/>
    <w:rsid w:val="00704E13"/>
    <w:rsid w:val="007158AC"/>
    <w:rsid w:val="0073166C"/>
    <w:rsid w:val="007467BB"/>
    <w:rsid w:val="007639E3"/>
    <w:rsid w:val="007917BA"/>
    <w:rsid w:val="007E56B6"/>
    <w:rsid w:val="007F1018"/>
    <w:rsid w:val="007F7386"/>
    <w:rsid w:val="00824152"/>
    <w:rsid w:val="008373CD"/>
    <w:rsid w:val="008A351B"/>
    <w:rsid w:val="008B425C"/>
    <w:rsid w:val="008C25DB"/>
    <w:rsid w:val="008C484E"/>
    <w:rsid w:val="008C4FA0"/>
    <w:rsid w:val="008C622E"/>
    <w:rsid w:val="008C6535"/>
    <w:rsid w:val="008E5106"/>
    <w:rsid w:val="008F6BB7"/>
    <w:rsid w:val="00905F1A"/>
    <w:rsid w:val="00916D66"/>
    <w:rsid w:val="00922CF5"/>
    <w:rsid w:val="00927D23"/>
    <w:rsid w:val="009518CB"/>
    <w:rsid w:val="0095472F"/>
    <w:rsid w:val="00956126"/>
    <w:rsid w:val="0096701F"/>
    <w:rsid w:val="00972E6D"/>
    <w:rsid w:val="009A2CAD"/>
    <w:rsid w:val="009B6A99"/>
    <w:rsid w:val="009C7E6A"/>
    <w:rsid w:val="00A06D8B"/>
    <w:rsid w:val="00A203E4"/>
    <w:rsid w:val="00A35518"/>
    <w:rsid w:val="00A55AA3"/>
    <w:rsid w:val="00A571E8"/>
    <w:rsid w:val="00A66771"/>
    <w:rsid w:val="00A771D0"/>
    <w:rsid w:val="00A86738"/>
    <w:rsid w:val="00A95A43"/>
    <w:rsid w:val="00AD63E0"/>
    <w:rsid w:val="00AE3ECD"/>
    <w:rsid w:val="00B34A40"/>
    <w:rsid w:val="00B858C9"/>
    <w:rsid w:val="00B91BAD"/>
    <w:rsid w:val="00BA6B8A"/>
    <w:rsid w:val="00BC1186"/>
    <w:rsid w:val="00BC40D0"/>
    <w:rsid w:val="00BC6631"/>
    <w:rsid w:val="00C056AD"/>
    <w:rsid w:val="00C27C66"/>
    <w:rsid w:val="00C3325C"/>
    <w:rsid w:val="00C400E2"/>
    <w:rsid w:val="00C52E8C"/>
    <w:rsid w:val="00C96CE1"/>
    <w:rsid w:val="00C96D0B"/>
    <w:rsid w:val="00CB55DF"/>
    <w:rsid w:val="00CD5556"/>
    <w:rsid w:val="00CD57E0"/>
    <w:rsid w:val="00CF660A"/>
    <w:rsid w:val="00D10E0C"/>
    <w:rsid w:val="00D137A9"/>
    <w:rsid w:val="00D15078"/>
    <w:rsid w:val="00D325B6"/>
    <w:rsid w:val="00D6239E"/>
    <w:rsid w:val="00D749D9"/>
    <w:rsid w:val="00D7614D"/>
    <w:rsid w:val="00DB57CB"/>
    <w:rsid w:val="00DC0758"/>
    <w:rsid w:val="00DD151C"/>
    <w:rsid w:val="00DE5F7D"/>
    <w:rsid w:val="00E00B56"/>
    <w:rsid w:val="00E1510E"/>
    <w:rsid w:val="00E34859"/>
    <w:rsid w:val="00E4169A"/>
    <w:rsid w:val="00E41AE5"/>
    <w:rsid w:val="00E82F32"/>
    <w:rsid w:val="00E90086"/>
    <w:rsid w:val="00E92EF3"/>
    <w:rsid w:val="00E95C59"/>
    <w:rsid w:val="00EA4D62"/>
    <w:rsid w:val="00EC700A"/>
    <w:rsid w:val="00ED20E8"/>
    <w:rsid w:val="00EE7A6F"/>
    <w:rsid w:val="00EF5FC9"/>
    <w:rsid w:val="00EF7E6F"/>
    <w:rsid w:val="00F15E17"/>
    <w:rsid w:val="00F16A70"/>
    <w:rsid w:val="00F34760"/>
    <w:rsid w:val="00F40BDC"/>
    <w:rsid w:val="00F40F66"/>
    <w:rsid w:val="00F5636C"/>
    <w:rsid w:val="00F64666"/>
    <w:rsid w:val="00F8123D"/>
    <w:rsid w:val="00F965DF"/>
    <w:rsid w:val="00FB4F3F"/>
    <w:rsid w:val="00FE61B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DE8618-900E-49B4-9715-DFC2AE2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2018-03-08T16:01:00Z</dcterms:created>
  <dcterms:modified xsi:type="dcterms:W3CDTF">2018-03-08T16:01:00Z</dcterms:modified>
</cp:coreProperties>
</file>